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line="360" w:lineRule="auto"/>
        <w:ind w:left="9639"/>
        <w:outlineLvl w:val="1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ind w:left="9639"/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</w:pPr>
      <w:r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 xml:space="preserve">к Порядку поощрения в 2020 году </w:t>
      </w:r>
    </w:p>
    <w:p>
      <w:pPr>
        <w:ind w:left="9639"/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</w:pPr>
      <w:r>
        <w:rPr>
          <w:rFonts w:ascii="PT Astra Serif" w:eastAsia="Calibri" w:hAnsi="PT Astra Serif"/>
          <w:color w:val="000000" w:themeColor="text1"/>
          <w:sz w:val="28"/>
          <w:szCs w:val="28"/>
          <w:lang w:eastAsia="en-US"/>
        </w:rPr>
        <w:t>муниципальной управленческой команды муниципального округа Тазовский район Ямало-Ненецкого автономного округа, деятельность которой обеспечила положительную динамику показателей для оценки эффективности деятельности</w:t>
      </w:r>
    </w:p>
    <w:p>
      <w:pPr>
        <w:widowControl w:val="0"/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both"/>
        <w:outlineLvl w:val="1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jc w:val="center"/>
        <w:outlineLvl w:val="1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ПЕРЕЧЕНЬ</w:t>
      </w:r>
    </w:p>
    <w:p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показателей, положительная динамика которых способствовала достижению значений (уровней) показателей для оценки эффективности деятельности высших должностных лиц (руководителей высших исполнительных</w:t>
      </w:r>
    </w:p>
    <w:p>
      <w:pPr>
        <w:pStyle w:val="a3"/>
        <w:ind w:left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органов государственной власти) субъектов Российской Федерации и деятельности органов исполнительной власти субъектов Российской Федерации, утвержденных Указом Президента</w:t>
      </w:r>
    </w:p>
    <w:p>
      <w:pPr>
        <w:pStyle w:val="a3"/>
        <w:ind w:left="0"/>
        <w:jc w:val="center"/>
        <w:rPr>
          <w:rFonts w:ascii="PT Astra Serif" w:eastAsia="Calibri" w:hAnsi="PT Astra Serif"/>
          <w:b/>
          <w:sz w:val="28"/>
          <w:szCs w:val="28"/>
          <w:lang w:eastAsia="en-US"/>
        </w:rPr>
      </w:pPr>
      <w:r>
        <w:rPr>
          <w:rFonts w:ascii="PT Astra Serif" w:hAnsi="PT Astra Serif"/>
          <w:b/>
          <w:sz w:val="28"/>
          <w:szCs w:val="28"/>
        </w:rPr>
        <w:t>Российской Федерации от 25 апреля 2019 года № 193</w:t>
      </w:r>
    </w:p>
    <w:p>
      <w:pPr>
        <w:pStyle w:val="a3"/>
        <w:ind w:left="0"/>
        <w:rPr>
          <w:rFonts w:ascii="PT Astra Serif" w:eastAsia="Calibri" w:hAnsi="PT Astra Serif"/>
          <w:b/>
          <w:sz w:val="26"/>
          <w:szCs w:val="26"/>
          <w:lang w:eastAsia="en-US"/>
        </w:rPr>
      </w:pPr>
    </w:p>
    <w:tbl>
      <w:tblPr>
        <w:tblStyle w:val="a6"/>
        <w:tblW w:w="5207" w:type="pct"/>
        <w:jc w:val="center"/>
        <w:tblLook w:val="04A0" w:firstRow="1" w:lastRow="0" w:firstColumn="1" w:lastColumn="0" w:noHBand="0" w:noVBand="1"/>
      </w:tblPr>
      <w:tblGrid>
        <w:gridCol w:w="521"/>
        <w:gridCol w:w="2205"/>
        <w:gridCol w:w="1362"/>
        <w:gridCol w:w="4230"/>
        <w:gridCol w:w="2593"/>
        <w:gridCol w:w="4252"/>
      </w:tblGrid>
      <w:tr>
        <w:trPr>
          <w:cantSplit/>
          <w:tblHeader/>
          <w:jc w:val="center"/>
        </w:trPr>
        <w:tc>
          <w:tcPr>
            <w:tcW w:w="17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№ п/п</w:t>
            </w:r>
          </w:p>
        </w:tc>
        <w:tc>
          <w:tcPr>
            <w:tcW w:w="727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Единицы измерения</w:t>
            </w:r>
          </w:p>
        </w:tc>
        <w:tc>
          <w:tcPr>
            <w:tcW w:w="139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Показатель, применяемый в целях анализа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Значение показателя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color w:val="FF0000"/>
                <w:sz w:val="28"/>
                <w:szCs w:val="28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Наименование отраслевого (функционального) органа Администрации Тазовского района, структурного подразделения Администрации Тазовского района</w:t>
            </w:r>
          </w:p>
        </w:tc>
      </w:tr>
    </w:tbl>
    <w:p>
      <w:pPr>
        <w:pStyle w:val="a3"/>
        <w:ind w:left="0"/>
        <w:rPr>
          <w:rFonts w:ascii="PT Astra Serif" w:eastAsia="Calibri" w:hAnsi="PT Astra Serif"/>
          <w:sz w:val="2"/>
          <w:szCs w:val="2"/>
          <w:lang w:eastAsia="en-US"/>
        </w:rPr>
      </w:pPr>
    </w:p>
    <w:tbl>
      <w:tblPr>
        <w:tblStyle w:val="a6"/>
        <w:tblW w:w="5207" w:type="pct"/>
        <w:jc w:val="center"/>
        <w:tblLayout w:type="fixed"/>
        <w:tblLook w:val="04A0" w:firstRow="1" w:lastRow="0" w:firstColumn="1" w:lastColumn="0" w:noHBand="0" w:noVBand="1"/>
      </w:tblPr>
      <w:tblGrid>
        <w:gridCol w:w="541"/>
        <w:gridCol w:w="2184"/>
        <w:gridCol w:w="1363"/>
        <w:gridCol w:w="4230"/>
        <w:gridCol w:w="2593"/>
        <w:gridCol w:w="4252"/>
      </w:tblGrid>
      <w:tr>
        <w:trPr>
          <w:cantSplit/>
          <w:trHeight w:val="129"/>
          <w:tblHeader/>
          <w:jc w:val="center"/>
        </w:trPr>
        <w:tc>
          <w:tcPr>
            <w:tcW w:w="178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720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139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</w:tr>
      <w:tr>
        <w:trPr>
          <w:cantSplit/>
          <w:jc w:val="center"/>
        </w:trPr>
        <w:tc>
          <w:tcPr>
            <w:tcW w:w="178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1.</w:t>
            </w:r>
          </w:p>
        </w:tc>
        <w:tc>
          <w:tcPr>
            <w:tcW w:w="720" w:type="pct"/>
            <w:vAlign w:val="center"/>
          </w:tcPr>
          <w:p>
            <w:pPr>
              <w:pStyle w:val="a3"/>
              <w:ind w:left="0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Среднесписочная численность работников (без внешних совместителей) малых и средних предприятий 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единиц</w:t>
            </w:r>
          </w:p>
        </w:tc>
        <w:tc>
          <w:tcPr>
            <w:tcW w:w="1395" w:type="pct"/>
            <w:vAlign w:val="center"/>
          </w:tcPr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Темп роста, значение показателя на 10 января 2020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к значению показателя 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 10 января 2019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случае значения темпа роста более 100% – динамика положительная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102,6% - динамика положительная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социально-экономического развития Администрации Тазовского района</w:t>
            </w:r>
          </w:p>
        </w:tc>
      </w:tr>
      <w:tr>
        <w:trPr>
          <w:cantSplit/>
          <w:jc w:val="center"/>
        </w:trPr>
        <w:tc>
          <w:tcPr>
            <w:tcW w:w="178" w:type="pct"/>
            <w:shd w:val="clear" w:color="auto" w:fill="auto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2.</w:t>
            </w:r>
          </w:p>
        </w:tc>
        <w:tc>
          <w:tcPr>
            <w:tcW w:w="720" w:type="pct"/>
            <w:shd w:val="clear" w:color="auto" w:fill="auto"/>
            <w:vAlign w:val="center"/>
          </w:tcPr>
          <w:p>
            <w:pPr>
              <w:pStyle w:val="a3"/>
              <w:ind w:left="0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Налоговые и неналоговые доходы местного бюджета (за исключением поступлений налоговых доходов по дополнительным нормативам отчислений)</w:t>
            </w:r>
          </w:p>
        </w:tc>
        <w:tc>
          <w:tcPr>
            <w:tcW w:w="449" w:type="pct"/>
            <w:shd w:val="clear" w:color="auto" w:fill="auto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тыс. рублей 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1395" w:type="pct"/>
            <w:shd w:val="clear" w:color="auto" w:fill="auto"/>
            <w:vAlign w:val="center"/>
          </w:tcPr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Темп роста, значение показателя 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 2019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 значению показателя за 2018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pStyle w:val="a3"/>
              <w:ind w:left="84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случае значения темпа роста более 100% – динамика положительная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  <w:u w:val="single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107,6% - динамика положительная</w:t>
            </w:r>
          </w:p>
        </w:tc>
        <w:tc>
          <w:tcPr>
            <w:tcW w:w="1402" w:type="pct"/>
            <w:shd w:val="clear" w:color="auto" w:fill="auto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департамент финансов Администрации Тазовского района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</w:rPr>
              <w:t>департамент имущественных и земельных отношений Администрации Тазовского района</w:t>
            </w:r>
          </w:p>
        </w:tc>
      </w:tr>
      <w:tr>
        <w:trPr>
          <w:cantSplit/>
          <w:jc w:val="center"/>
        </w:trPr>
        <w:tc>
          <w:tcPr>
            <w:tcW w:w="178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3.</w:t>
            </w:r>
          </w:p>
        </w:tc>
        <w:tc>
          <w:tcPr>
            <w:tcW w:w="720" w:type="pct"/>
            <w:vAlign w:val="center"/>
          </w:tcPr>
          <w:p>
            <w:pPr>
              <w:pStyle w:val="a3"/>
              <w:ind w:left="0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Естественный прирост населения 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color w:val="FF0000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человек на 1 000 человек населения</w:t>
            </w:r>
          </w:p>
        </w:tc>
        <w:tc>
          <w:tcPr>
            <w:tcW w:w="1395" w:type="pct"/>
            <w:vAlign w:val="center"/>
          </w:tcPr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Разница значения показателя за 2019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 значения показателя за 2018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«+» – положительная динамика, «–»,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color w:val="FF0000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«0» – отрицательная динамика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color w:val="FF0000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«+2,1» - динамика положительная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color w:val="FF0000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департамент социального развития Администрации Тазовского района </w:t>
            </w:r>
          </w:p>
        </w:tc>
      </w:tr>
      <w:tr>
        <w:trPr>
          <w:cantSplit/>
          <w:jc w:val="center"/>
        </w:trPr>
        <w:tc>
          <w:tcPr>
            <w:tcW w:w="178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4.</w:t>
            </w:r>
          </w:p>
        </w:tc>
        <w:tc>
          <w:tcPr>
            <w:tcW w:w="720" w:type="pct"/>
            <w:vAlign w:val="center"/>
          </w:tcPr>
          <w:p>
            <w:pPr>
              <w:pStyle w:val="a3"/>
              <w:ind w:left="0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Среднемесячная заработная плата работников организаций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рублей</w:t>
            </w:r>
          </w:p>
        </w:tc>
        <w:tc>
          <w:tcPr>
            <w:tcW w:w="1395" w:type="pct"/>
            <w:vAlign w:val="center"/>
          </w:tcPr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Темп роста, значение показателя 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 2019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к значению показателя 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за 2018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В случае значения темпа роста более 100% – динамика положительная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33"/>
              <w:jc w:val="center"/>
              <w:rPr>
                <w:rFonts w:ascii="PT Astra Serif" w:hAnsi="PT Astra Serif"/>
                <w:sz w:val="22"/>
                <w:szCs w:val="22"/>
                <w:u w:val="single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107% - динамика положительная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33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финансов Администрации Тазовского района</w:t>
            </w:r>
          </w:p>
          <w:p>
            <w:pPr>
              <w:pStyle w:val="a3"/>
              <w:ind w:left="33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pStyle w:val="a3"/>
              <w:ind w:left="33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социально-экономического развития Администрации Тазовского района</w:t>
            </w:r>
          </w:p>
          <w:p>
            <w:pPr>
              <w:pStyle w:val="a3"/>
              <w:ind w:left="33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pStyle w:val="a3"/>
              <w:ind w:left="33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образования Администрации Тазовского района</w:t>
            </w:r>
          </w:p>
          <w:p>
            <w:pPr>
              <w:pStyle w:val="a3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управление культуры, физической культуры и спорта, молодежной политики и туризма Администрации Тазовского района</w:t>
            </w:r>
          </w:p>
        </w:tc>
      </w:tr>
      <w:tr>
        <w:trPr>
          <w:cantSplit/>
          <w:jc w:val="center"/>
        </w:trPr>
        <w:tc>
          <w:tcPr>
            <w:tcW w:w="178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5.</w:t>
            </w:r>
          </w:p>
        </w:tc>
        <w:tc>
          <w:tcPr>
            <w:tcW w:w="720" w:type="pct"/>
            <w:vAlign w:val="center"/>
          </w:tcPr>
          <w:p>
            <w:pPr>
              <w:pStyle w:val="a3"/>
              <w:ind w:left="0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Доля выпускников 11–х классов набравших 81– 100 баллов по результатам ЕГЭ, процентов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процентов 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color w:val="FF0000"/>
                <w:sz w:val="22"/>
                <w:szCs w:val="22"/>
              </w:rPr>
            </w:pPr>
          </w:p>
        </w:tc>
        <w:tc>
          <w:tcPr>
            <w:tcW w:w="1395" w:type="pct"/>
            <w:vAlign w:val="center"/>
          </w:tcPr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Разница значения показателя в 2019 году и значения показателя в 2018 году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«+» – положительная динамика,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color w:val="FF0000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«–», «0» отрицательная динамика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-1 процентный пункт - динамика отрицательная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департамент образования Администрации Тазовского района</w:t>
            </w:r>
          </w:p>
        </w:tc>
      </w:tr>
      <w:tr>
        <w:trPr>
          <w:cantSplit/>
          <w:jc w:val="center"/>
        </w:trPr>
        <w:tc>
          <w:tcPr>
            <w:tcW w:w="178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lastRenderedPageBreak/>
              <w:t>6.</w:t>
            </w:r>
          </w:p>
        </w:tc>
        <w:tc>
          <w:tcPr>
            <w:tcW w:w="720" w:type="pct"/>
            <w:shd w:val="clear" w:color="auto" w:fill="auto"/>
            <w:vAlign w:val="center"/>
          </w:tcPr>
          <w:p>
            <w:pPr>
              <w:pStyle w:val="a3"/>
              <w:ind w:left="0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Доля населения, получившего жилые помещения и улучшившего жилищные условия в отчетном году, в общей численности населения, состоящего на учете в качестве нуждающегося в жилых помещениях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процентов</w:t>
            </w:r>
          </w:p>
        </w:tc>
        <w:tc>
          <w:tcPr>
            <w:tcW w:w="1395" w:type="pct"/>
            <w:vAlign w:val="center"/>
          </w:tcPr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Разница значения показателя за 2019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к значению показателя за 2018 г.</w:t>
            </w: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  <w:p>
            <w:pPr>
              <w:contextualSpacing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«+» – положительная динамика,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«–», «0» – отрицательная динамика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+ 1,13 процентных пунктов – динамика положительная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МКУ «Дирекция жилищной политики Тазовского района» (муниципальные служащие отсутствуют)</w:t>
            </w:r>
          </w:p>
        </w:tc>
      </w:tr>
      <w:tr>
        <w:trPr>
          <w:cantSplit/>
          <w:jc w:val="center"/>
        </w:trPr>
        <w:tc>
          <w:tcPr>
            <w:tcW w:w="178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7.</w:t>
            </w:r>
          </w:p>
        </w:tc>
        <w:tc>
          <w:tcPr>
            <w:tcW w:w="720" w:type="pct"/>
            <w:vAlign w:val="center"/>
          </w:tcPr>
          <w:p>
            <w:pPr>
              <w:pStyle w:val="a3"/>
              <w:ind w:left="0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Участие предприятий и организаций, осуществляющих хозяйственную деятельность на территории  муниципального образования в национальном проекте «Производительность труда и поддержка занятости»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Да/нет</w:t>
            </w:r>
          </w:p>
        </w:tc>
        <w:tc>
          <w:tcPr>
            <w:tcW w:w="139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Участие в проекте оценивается положительно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Да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соглашение заключено между департаментом экономики 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ЯНАО и ТМУДТП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(муниципальные служащие отсутствуют)</w:t>
            </w:r>
          </w:p>
        </w:tc>
      </w:tr>
      <w:tr>
        <w:trPr>
          <w:cantSplit/>
          <w:jc w:val="center"/>
        </w:trPr>
        <w:tc>
          <w:tcPr>
            <w:tcW w:w="178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8.</w:t>
            </w:r>
          </w:p>
        </w:tc>
        <w:tc>
          <w:tcPr>
            <w:tcW w:w="720" w:type="pct"/>
          </w:tcPr>
          <w:p>
            <w:pPr>
              <w:pStyle w:val="a3"/>
              <w:ind w:left="0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Уровень доверия Президенту Российской Федерации и индекс доверия Губернатору Ямало-Ненецкого округа</w:t>
            </w:r>
          </w:p>
        </w:tc>
        <w:tc>
          <w:tcPr>
            <w:tcW w:w="449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процентов</w:t>
            </w:r>
          </w:p>
        </w:tc>
        <w:tc>
          <w:tcPr>
            <w:tcW w:w="139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рост значений показателя 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 xml:space="preserve">в </w:t>
            </w:r>
            <w:r>
              <w:rPr>
                <w:rFonts w:ascii="PT Astra Serif" w:hAnsi="PT Astra Serif"/>
                <w:lang w:val="en-US"/>
              </w:rPr>
              <w:t>IV</w:t>
            </w:r>
            <w:r>
              <w:rPr>
                <w:rFonts w:ascii="PT Astra Serif" w:hAnsi="PT Astra Serif"/>
              </w:rPr>
              <w:t xml:space="preserve"> квартале 2019 года по отношению к значениям показателя на 01 мая 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</w:rPr>
            </w:pPr>
            <w:r>
              <w:rPr>
                <w:rFonts w:ascii="PT Astra Serif" w:hAnsi="PT Astra Serif"/>
              </w:rPr>
              <w:t>2019 года</w:t>
            </w:r>
          </w:p>
        </w:tc>
        <w:tc>
          <w:tcPr>
            <w:tcW w:w="855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 xml:space="preserve">Уровень доверия Президенту Российской Федерации - снизился 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на 7,4%;</w:t>
            </w:r>
          </w:p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индекс доверия Губернатору Ямало-Ненецкого округа – увеличился на 25%</w:t>
            </w:r>
          </w:p>
        </w:tc>
        <w:tc>
          <w:tcPr>
            <w:tcW w:w="1402" w:type="pct"/>
            <w:vAlign w:val="center"/>
          </w:tcPr>
          <w:p>
            <w:pPr>
              <w:pStyle w:val="a3"/>
              <w:ind w:left="0"/>
              <w:jc w:val="center"/>
              <w:rPr>
                <w:rFonts w:ascii="PT Astra Serif" w:hAnsi="PT Astra Serif"/>
                <w:sz w:val="22"/>
                <w:szCs w:val="22"/>
              </w:rPr>
            </w:pPr>
            <w:r>
              <w:rPr>
                <w:rFonts w:ascii="PT Astra Serif" w:hAnsi="PT Astra Serif"/>
                <w:sz w:val="22"/>
                <w:szCs w:val="22"/>
              </w:rPr>
              <w:t>с</w:t>
            </w:r>
            <w:bookmarkStart w:id="0" w:name="_GoBack"/>
            <w:bookmarkEnd w:id="0"/>
            <w:r>
              <w:rPr>
                <w:rFonts w:ascii="PT Astra Serif" w:hAnsi="PT Astra Serif"/>
                <w:sz w:val="22"/>
                <w:szCs w:val="22"/>
              </w:rPr>
              <w:t>нижение показателя</w:t>
            </w:r>
          </w:p>
        </w:tc>
      </w:tr>
    </w:tbl>
    <w:p>
      <w:pPr>
        <w:widowControl w:val="0"/>
        <w:autoSpaceDE w:val="0"/>
        <w:autoSpaceDN w:val="0"/>
        <w:adjustRightInd w:val="0"/>
        <w:rPr>
          <w:rFonts w:ascii="PT Astra Serif" w:hAnsi="PT Astra Serif"/>
          <w:sz w:val="16"/>
          <w:szCs w:val="16"/>
        </w:rPr>
      </w:pPr>
    </w:p>
    <w:p>
      <w:pPr>
        <w:rPr>
          <w:rFonts w:ascii="PT Astra Serif" w:hAnsi="PT Astra Serif"/>
        </w:rPr>
      </w:pPr>
    </w:p>
    <w:sectPr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3592943"/>
      <w:docPartObj>
        <w:docPartGallery w:val="Page Numbers (Top of Page)"/>
        <w:docPartUnique/>
      </w:docPartObj>
    </w:sdtPr>
    <w:sdtContent>
      <w:p>
        <w:pPr>
          <w:pStyle w:val="ab"/>
          <w:jc w:val="center"/>
        </w:pPr>
      </w:p>
      <w:p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D86A2-67BC-43C1-8B38-372D4A6A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footer"/>
    <w:basedOn w:val="a"/>
    <w:link w:val="a5"/>
    <w:uiPriority w:val="99"/>
    <w:unhideWhenUsed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Ольга Павловна</dc:creator>
  <cp:keywords/>
  <dc:description/>
  <cp:lastModifiedBy>Фадеева Алена Михайловна</cp:lastModifiedBy>
  <cp:revision>52</cp:revision>
  <cp:lastPrinted>2020-12-25T04:30:00Z</cp:lastPrinted>
  <dcterms:created xsi:type="dcterms:W3CDTF">2019-12-12T11:51:00Z</dcterms:created>
  <dcterms:modified xsi:type="dcterms:W3CDTF">2020-12-25T04:30:00Z</dcterms:modified>
</cp:coreProperties>
</file>